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360" w:lineRule="auto"/>
        <w:ind w:left="-142" w:right="51" w:firstLine="33" w:firstLineChars="7"/>
        <w:jc w:val="center"/>
        <w:rPr>
          <w:rFonts w:hint="eastAsia" w:ascii="黑体" w:hAnsi="黑体" w:eastAsia="黑体" w:cs="黑体"/>
          <w:color w:val="auto"/>
          <w:sz w:val="48"/>
          <w:szCs w:val="48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8"/>
          <w:szCs w:val="48"/>
          <w:u w:val="none"/>
        </w:rPr>
        <w:t>获嘉县</w:t>
      </w:r>
      <w:r>
        <w:rPr>
          <w:rFonts w:hint="eastAsia" w:ascii="黑体" w:hAnsi="黑体" w:eastAsia="黑体" w:cs="黑体"/>
          <w:color w:val="auto"/>
          <w:sz w:val="48"/>
          <w:szCs w:val="48"/>
          <w:u w:val="none"/>
          <w:lang w:val="en-US" w:eastAsia="zh-CN"/>
        </w:rPr>
        <w:t>信访局2019</w:t>
      </w:r>
      <w:r>
        <w:rPr>
          <w:rFonts w:hint="eastAsia" w:ascii="黑体" w:hAnsi="黑体" w:eastAsia="黑体" w:cs="黑体"/>
          <w:color w:val="auto"/>
          <w:sz w:val="48"/>
          <w:szCs w:val="48"/>
          <w:u w:val="none"/>
        </w:rPr>
        <w:t>年部门预算公开</w:t>
      </w:r>
      <w:r>
        <w:rPr>
          <w:rFonts w:hint="eastAsia" w:ascii="黑体" w:hAnsi="黑体" w:eastAsia="黑体" w:cs="黑体"/>
          <w:color w:val="auto"/>
          <w:sz w:val="48"/>
          <w:szCs w:val="48"/>
          <w:u w:val="none"/>
          <w:lang w:val="en-US" w:eastAsia="zh-CN"/>
        </w:rPr>
        <w:t xml:space="preserve"> </w:t>
      </w:r>
      <w:bookmarkStart w:id="0" w:name="_GoBack"/>
      <w:bookmarkEnd w:id="0"/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3" w:firstLineChars="7"/>
        <w:jc w:val="center"/>
        <w:rPr>
          <w:rFonts w:hint="eastAsia" w:ascii="黑体" w:hAnsi="黑体" w:eastAsia="黑体" w:cs="黑体"/>
          <w:color w:val="auto"/>
          <w:sz w:val="48"/>
          <w:szCs w:val="48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48"/>
          <w:szCs w:val="48"/>
          <w:u w:val="none"/>
        </w:rPr>
        <w:t>目</w:t>
      </w:r>
      <w:r>
        <w:rPr>
          <w:rFonts w:hint="eastAsia" w:ascii="黑体" w:hAnsi="黑体" w:eastAsia="黑体" w:cs="黑体"/>
          <w:color w:val="auto"/>
          <w:spacing w:val="2"/>
          <w:sz w:val="48"/>
          <w:szCs w:val="48"/>
          <w:u w:val="none"/>
        </w:rPr>
        <w:t xml:space="preserve"> </w:t>
      </w:r>
      <w:r>
        <w:rPr>
          <w:rFonts w:hint="eastAsia" w:ascii="黑体" w:hAnsi="黑体" w:eastAsia="黑体" w:cs="黑体"/>
          <w:color w:val="auto"/>
          <w:sz w:val="48"/>
          <w:szCs w:val="48"/>
          <w:u w:val="none"/>
        </w:rPr>
        <w:t>录</w:t>
      </w:r>
    </w:p>
    <w:p>
      <w:pPr>
        <w:ind w:left="105"/>
        <w:rPr>
          <w:rFonts w:ascii="仿宋_GB2312" w:eastAsia="仿宋_GB2312"/>
          <w:color w:val="auto"/>
          <w:sz w:val="32"/>
          <w:szCs w:val="32"/>
          <w:u w:val="none"/>
        </w:rPr>
      </w:pPr>
    </w:p>
    <w:p>
      <w:pPr>
        <w:ind w:left="105"/>
        <w:rPr>
          <w:rFonts w:hint="eastAsia"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第一部分  获嘉县</w:t>
      </w:r>
      <w:r>
        <w:rPr>
          <w:rFonts w:hint="eastAsia" w:ascii="黑体" w:hAnsi="黑体" w:eastAsia="黑体"/>
          <w:color w:val="auto"/>
          <w:sz w:val="32"/>
          <w:szCs w:val="32"/>
          <w:u w:val="none"/>
          <w:lang w:val="en-US" w:eastAsia="zh-CN"/>
        </w:rPr>
        <w:t>信访局</w:t>
      </w:r>
      <w:r>
        <w:rPr>
          <w:rFonts w:ascii="黑体" w:hAnsi="黑体" w:eastAsia="黑体"/>
          <w:color w:val="auto"/>
          <w:sz w:val="32"/>
          <w:szCs w:val="32"/>
          <w:u w:val="none"/>
        </w:rPr>
        <w:t>概况</w:t>
      </w:r>
    </w:p>
    <w:p>
      <w:pPr>
        <w:widowControl/>
        <w:spacing w:line="600" w:lineRule="atLeast"/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一、主要职能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二、部门预算</w:t>
      </w:r>
      <w:r>
        <w:rPr>
          <w:rFonts w:ascii="仿宋_GB2312" w:eastAsia="仿宋_GB2312"/>
          <w:color w:val="auto"/>
          <w:sz w:val="32"/>
          <w:szCs w:val="32"/>
          <w:u w:val="none"/>
        </w:rPr>
        <w:t>单位构成</w:t>
      </w:r>
    </w:p>
    <w:p>
      <w:pPr>
        <w:widowControl/>
        <w:spacing w:line="600" w:lineRule="atLeast"/>
        <w:rPr>
          <w:rFonts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第二部分 获嘉县</w:t>
      </w:r>
      <w:r>
        <w:rPr>
          <w:rFonts w:hint="eastAsia" w:ascii="黑体" w:hAnsi="黑体" w:eastAsia="黑体"/>
          <w:color w:val="auto"/>
          <w:sz w:val="32"/>
          <w:szCs w:val="32"/>
          <w:u w:val="none"/>
          <w:lang w:val="en-US" w:eastAsia="zh-CN"/>
        </w:rPr>
        <w:t>信访局</w:t>
      </w:r>
      <w:r>
        <w:rPr>
          <w:rFonts w:hint="eastAsia" w:ascii="黑体" w:hAnsi="黑体" w:eastAsia="黑体"/>
          <w:color w:val="auto"/>
          <w:sz w:val="32"/>
          <w:szCs w:val="32"/>
          <w:u w:val="none"/>
        </w:rPr>
        <w:t>20</w:t>
      </w:r>
      <w:r>
        <w:rPr>
          <w:rFonts w:hint="eastAsia" w:ascii="黑体" w:hAnsi="黑体" w:eastAsia="黑体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黑体" w:hAnsi="黑体" w:eastAsia="黑体"/>
          <w:color w:val="auto"/>
          <w:sz w:val="32"/>
          <w:szCs w:val="32"/>
          <w:u w:val="none"/>
        </w:rPr>
        <w:t>年</w:t>
      </w:r>
      <w:r>
        <w:rPr>
          <w:rFonts w:ascii="黑体" w:hAnsi="黑体" w:eastAsia="黑体"/>
          <w:color w:val="auto"/>
          <w:sz w:val="32"/>
          <w:szCs w:val="32"/>
          <w:u w:val="none"/>
        </w:rPr>
        <w:t>部门预算情况说明</w:t>
      </w:r>
    </w:p>
    <w:p>
      <w:pPr>
        <w:widowControl/>
        <w:spacing w:line="600" w:lineRule="atLeast"/>
        <w:rPr>
          <w:rFonts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第三部分  名词</w:t>
      </w:r>
      <w:r>
        <w:rPr>
          <w:rFonts w:ascii="黑体" w:hAnsi="黑体" w:eastAsia="黑体"/>
          <w:color w:val="auto"/>
          <w:sz w:val="32"/>
          <w:szCs w:val="32"/>
          <w:u w:val="none"/>
        </w:rPr>
        <w:t>解释</w:t>
      </w:r>
    </w:p>
    <w:p>
      <w:pPr>
        <w:widowControl/>
        <w:spacing w:line="600" w:lineRule="atLeast"/>
        <w:rPr>
          <w:rFonts w:hint="eastAsia" w:ascii="黑体" w:hAnsi="黑体" w:eastAsia="黑体"/>
          <w:color w:val="auto"/>
          <w:kern w:val="0"/>
          <w:szCs w:val="21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附件：</w:t>
      </w:r>
      <w:r>
        <w:rPr>
          <w:rFonts w:ascii="黑体" w:hAnsi="黑体" w:eastAsia="黑体"/>
          <w:color w:val="auto"/>
          <w:sz w:val="32"/>
          <w:szCs w:val="32"/>
          <w:u w:val="none"/>
        </w:rPr>
        <w:t>获嘉县</w:t>
      </w:r>
      <w:r>
        <w:rPr>
          <w:rFonts w:hint="eastAsia" w:ascii="黑体" w:hAnsi="黑体" w:eastAsia="黑体"/>
          <w:color w:val="auto"/>
          <w:sz w:val="32"/>
          <w:szCs w:val="32"/>
          <w:u w:val="none"/>
          <w:lang w:val="en-US" w:eastAsia="zh-CN"/>
        </w:rPr>
        <w:t>信访局</w:t>
      </w:r>
      <w:r>
        <w:rPr>
          <w:rFonts w:hint="eastAsia" w:ascii="黑体" w:hAnsi="黑体" w:eastAsia="黑体"/>
          <w:color w:val="auto"/>
          <w:sz w:val="32"/>
          <w:szCs w:val="32"/>
          <w:u w:val="none"/>
        </w:rPr>
        <w:t>20</w:t>
      </w:r>
      <w:r>
        <w:rPr>
          <w:rFonts w:hint="eastAsia" w:ascii="黑体" w:hAnsi="黑体" w:eastAsia="黑体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黑体" w:hAnsi="黑体" w:eastAsia="黑体"/>
          <w:color w:val="auto"/>
          <w:sz w:val="32"/>
          <w:szCs w:val="32"/>
          <w:u w:val="none"/>
        </w:rPr>
        <w:t>年</w:t>
      </w:r>
      <w:r>
        <w:rPr>
          <w:rFonts w:ascii="黑体" w:hAnsi="黑体" w:eastAsia="黑体"/>
          <w:color w:val="auto"/>
          <w:sz w:val="32"/>
          <w:szCs w:val="32"/>
          <w:u w:val="none"/>
        </w:rPr>
        <w:t>部门预算</w:t>
      </w:r>
      <w:r>
        <w:rPr>
          <w:rFonts w:hint="eastAsia" w:ascii="黑体" w:hAnsi="黑体" w:eastAsia="黑体"/>
          <w:color w:val="auto"/>
          <w:sz w:val="32"/>
          <w:szCs w:val="32"/>
          <w:u w:val="none"/>
        </w:rPr>
        <w:t>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一、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二、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Calibri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三、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四、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五、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六、一般公共预算基本支出情况表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七、一般公共预算项目支出情况表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八、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Calibri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</w:rPr>
        <w:t>九、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Calibri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十、政府性基金预算项目支出情况表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Calibri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十一</w:t>
      </w:r>
      <w:r>
        <w:rPr>
          <w:rFonts w:ascii="仿宋_GB2312" w:hAnsi="Calibri" w:eastAsia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机关运行经费情况表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Calibri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十二</w:t>
      </w:r>
      <w:r>
        <w:rPr>
          <w:rFonts w:ascii="仿宋_GB2312" w:hAnsi="Calibri" w:eastAsia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政府采购及新增资产配置计划表</w:t>
      </w:r>
    </w:p>
    <w:p>
      <w:pPr>
        <w:ind w:firstLine="643" w:firstLineChars="200"/>
        <w:jc w:val="center"/>
        <w:rPr>
          <w:rFonts w:ascii="仿宋_GB2312" w:eastAsia="仿宋_GB2312"/>
          <w:b/>
          <w:color w:val="auto"/>
          <w:sz w:val="32"/>
          <w:szCs w:val="32"/>
          <w:u w:val="none"/>
        </w:rPr>
      </w:pPr>
    </w:p>
    <w:p>
      <w:pPr>
        <w:jc w:val="center"/>
        <w:rPr>
          <w:rFonts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第一部分</w:t>
      </w:r>
    </w:p>
    <w:p>
      <w:pPr>
        <w:jc w:val="center"/>
        <w:rPr>
          <w:rFonts w:ascii="仿宋_GB2312" w:eastAsia="仿宋_GB2312"/>
          <w:b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获嘉县</w:t>
      </w:r>
      <w:r>
        <w:rPr>
          <w:rFonts w:hint="eastAsia" w:ascii="黑体" w:hAnsi="黑体" w:eastAsia="黑体"/>
          <w:color w:val="auto"/>
          <w:sz w:val="32"/>
          <w:szCs w:val="32"/>
          <w:u w:val="none"/>
          <w:lang w:val="en-US" w:eastAsia="zh-CN"/>
        </w:rPr>
        <w:t>信访局</w:t>
      </w:r>
      <w:r>
        <w:rPr>
          <w:rFonts w:ascii="黑体" w:hAnsi="黑体" w:eastAsia="黑体"/>
          <w:color w:val="auto"/>
          <w:sz w:val="32"/>
          <w:szCs w:val="32"/>
          <w:u w:val="none"/>
        </w:rPr>
        <w:t>概况</w:t>
      </w:r>
    </w:p>
    <w:p>
      <w:pPr>
        <w:ind w:firstLine="643" w:firstLineChars="200"/>
        <w:rPr>
          <w:rFonts w:hint="eastAsia" w:ascii="仿宋_GB2312" w:eastAsia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一</w:t>
      </w:r>
      <w:r>
        <w:rPr>
          <w:rFonts w:ascii="仿宋_GB2312" w:eastAsia="仿宋_GB2312"/>
          <w:b/>
          <w:color w:val="auto"/>
          <w:sz w:val="32"/>
          <w:szCs w:val="32"/>
          <w:u w:val="none"/>
        </w:rPr>
        <w:t>、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部门主要职责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（1）协调指导全县信访工作，起草有关信访工作的政策，推动中央和省委、省政府、市委、市政府以及县委、县政府关于信访工作决策部署的贯彻落实。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（2）受理人民群众给县委、县政府及领导同志的来信来电，接待来访，为来信来电来访群众提供有关法律法规和政策咨询服务。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（3）负责向县委、县政府反映来信来电来访中提出的重要建议、意见和问题，综合研判信访信息，分析信访形势，开展调查研究，提出改进工作的意见和建议。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4）承办上级领导机关、本级领导机关及其负责人转办、交办的信访事项，向乡（镇）和有关部门转办、交办信访事项，督促检查重要信访事项的处理和落实，提出信访责任追究意见和建议，对党委政府信访工作责任制履行情况、信访工作的执行情况定期进行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（5）协调处理跨地区跨行业跨部门的信访突出问题和突发信访事件；对重要信访事项实施个案监督，并提出对有关责任单位和责任个人的处理意见和建议。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6）负责征集、处理人民群众对本县政治、经济、文化、社会和生态文明等各项建设事业发展的重要建议；总结推广信访工作经验，提出改进和加强信访工作的意见和建议；组织信访干部培训；负责信访工作的宣传和信息发布；组织协调、指导、推动全县信访系统信息化建设。及时化解人民内部矛盾，组织开展矛盾纠纷排查调处工作；做好涉及群众利益诉求不安定因素的排查和消除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（7）负责县政府受理的信访事项复查、复核工作，研究提出复查、复核意见并监督执行。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（8）完成县委、县政府交办的其他任务。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）有关职责分工。</w:t>
      </w:r>
    </w:p>
    <w:p>
      <w:pPr>
        <w:ind w:firstLine="800" w:firstLineChars="250"/>
        <w:rPr>
          <w:rFonts w:hint="eastAsia" w:ascii="仿宋" w:hAnsi="仿宋" w:eastAsia="仿宋"/>
          <w:b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获嘉县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信访局</w:t>
      </w:r>
      <w:r>
        <w:rPr>
          <w:rFonts w:ascii="仿宋" w:hAnsi="仿宋" w:eastAsia="仿宋"/>
          <w:color w:val="auto"/>
          <w:sz w:val="32"/>
          <w:szCs w:val="32"/>
          <w:u w:val="none"/>
        </w:rPr>
        <w:t>机构设置情况：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获嘉县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信访局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设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个内设机构。分别是：党政办公室、信访业务室（复查办公室）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、信访接待中心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color w:val="auto"/>
          <w:kern w:val="0"/>
          <w:sz w:val="32"/>
          <w:szCs w:val="20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20"/>
          <w:u w:val="none"/>
        </w:rPr>
        <w:t>二</w:t>
      </w:r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20"/>
          <w:u w:val="none"/>
        </w:rPr>
        <w:t>、获嘉县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20"/>
          <w:u w:val="none"/>
          <w:lang w:val="en-US" w:eastAsia="zh-CN"/>
        </w:rPr>
        <w:t>信访</w:t>
      </w:r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20"/>
          <w:u w:val="none"/>
        </w:rPr>
        <w:t>局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20"/>
          <w:u w:val="none"/>
        </w:rPr>
        <w:t>预算单位构成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20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20"/>
          <w:u w:val="none"/>
        </w:rPr>
        <w:t>获嘉县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20"/>
          <w:u w:val="none"/>
          <w:lang w:val="en-US" w:eastAsia="zh-CN"/>
        </w:rPr>
        <w:t>信访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20"/>
          <w:u w:val="none"/>
        </w:rPr>
        <w:t>局部门预算为机关本级预算，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20"/>
          <w:u w:val="none"/>
        </w:rPr>
        <w:t>无下属单位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20"/>
          <w:u w:val="none"/>
        </w:rPr>
        <w:t>预算。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kern w:val="0"/>
          <w:sz w:val="32"/>
          <w:szCs w:val="20"/>
          <w:u w:val="none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auto"/>
          <w:kern w:val="0"/>
          <w:sz w:val="32"/>
          <w:szCs w:val="20"/>
          <w:u w:val="none"/>
        </w:rPr>
      </w:pPr>
    </w:p>
    <w:p>
      <w:pPr>
        <w:spacing w:line="600" w:lineRule="exact"/>
        <w:jc w:val="center"/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</w:rPr>
      </w:pPr>
    </w:p>
    <w:p>
      <w:pPr>
        <w:spacing w:line="600" w:lineRule="exact"/>
        <w:jc w:val="center"/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</w:rPr>
      </w:pPr>
    </w:p>
    <w:p>
      <w:pPr>
        <w:spacing w:line="600" w:lineRule="exact"/>
        <w:jc w:val="center"/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</w:rPr>
      </w:pPr>
    </w:p>
    <w:p>
      <w:pPr>
        <w:spacing w:line="600" w:lineRule="exact"/>
        <w:jc w:val="center"/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</w:rPr>
      </w:pPr>
    </w:p>
    <w:p>
      <w:pPr>
        <w:spacing w:line="600" w:lineRule="exact"/>
        <w:jc w:val="center"/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</w:rPr>
      </w:pPr>
    </w:p>
    <w:p>
      <w:pPr>
        <w:spacing w:line="600" w:lineRule="exact"/>
        <w:jc w:val="center"/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</w:rPr>
      </w:pPr>
    </w:p>
    <w:p>
      <w:pPr>
        <w:spacing w:line="600" w:lineRule="exact"/>
        <w:jc w:val="center"/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</w:rPr>
      </w:pPr>
    </w:p>
    <w:p>
      <w:pPr>
        <w:spacing w:line="600" w:lineRule="exact"/>
        <w:jc w:val="center"/>
        <w:rPr>
          <w:rFonts w:ascii="黑体" w:hAnsi="黑体" w:eastAsia="黑体" w:cs="仿宋_GB2312"/>
          <w:color w:val="auto"/>
          <w:kern w:val="0"/>
          <w:sz w:val="32"/>
          <w:szCs w:val="20"/>
          <w:u w:val="none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</w:rPr>
        <w:t>第二部分</w:t>
      </w:r>
    </w:p>
    <w:p>
      <w:pPr>
        <w:spacing w:line="600" w:lineRule="exact"/>
        <w:jc w:val="center"/>
        <w:rPr>
          <w:rFonts w:ascii="黑体" w:hAnsi="黑体" w:eastAsia="黑体" w:cs="仿宋_GB2312"/>
          <w:color w:val="auto"/>
          <w:kern w:val="0"/>
          <w:sz w:val="32"/>
          <w:szCs w:val="20"/>
          <w:u w:val="none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</w:rPr>
        <w:t>获嘉县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  <w:lang w:val="en-US" w:eastAsia="zh-CN"/>
        </w:rPr>
        <w:t>信访</w:t>
      </w:r>
      <w:r>
        <w:rPr>
          <w:rFonts w:ascii="黑体" w:hAnsi="黑体" w:eastAsia="黑体" w:cs="仿宋_GB2312"/>
          <w:color w:val="auto"/>
          <w:kern w:val="0"/>
          <w:sz w:val="32"/>
          <w:szCs w:val="20"/>
          <w:u w:val="none"/>
        </w:rPr>
        <w:t>局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</w:rPr>
        <w:t>20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  <w:lang w:val="en-US" w:eastAsia="zh-CN"/>
        </w:rPr>
        <w:t>19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20"/>
          <w:u w:val="none"/>
        </w:rPr>
        <w:t>年</w:t>
      </w:r>
      <w:r>
        <w:rPr>
          <w:rFonts w:ascii="黑体" w:hAnsi="黑体" w:eastAsia="黑体" w:cs="仿宋_GB2312"/>
          <w:color w:val="auto"/>
          <w:kern w:val="0"/>
          <w:sz w:val="32"/>
          <w:szCs w:val="20"/>
          <w:u w:val="none"/>
        </w:rPr>
        <w:t>部门预算情况说明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20"/>
          <w:u w:val="none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一、收支预算总体情况说明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Courier New"/>
          <w:bCs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获嘉县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信访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局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20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年收入总计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125.04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万元，支出总计</w:t>
      </w:r>
      <w:r>
        <w:rPr>
          <w:rFonts w:ascii="仿宋_GB2312" w:eastAsia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125.04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万元，与201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年预算相比，收、支总计各增加26.89万元，增加0.27%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主要原因：</w:t>
      </w:r>
      <w:r>
        <w:rPr>
          <w:rFonts w:hint="eastAsia" w:ascii="仿宋_GB2312" w:hAnsi="宋体" w:eastAsia="仿宋_GB2312" w:cs="Courier New"/>
          <w:bCs/>
          <w:color w:val="auto"/>
          <w:sz w:val="32"/>
          <w:szCs w:val="32"/>
          <w:u w:val="none"/>
        </w:rPr>
        <w:t>增加2019年北京、郑州信访值班经费，相应预算增加。</w:t>
      </w:r>
    </w:p>
    <w:p>
      <w:pPr>
        <w:spacing w:line="560" w:lineRule="exact"/>
        <w:ind w:firstLine="640" w:firstLineChars="200"/>
        <w:rPr>
          <w:rFonts w:ascii="黑体" w:hAnsi="黑体" w:eastAsia="黑体" w:cs="Courier New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二、</w:t>
      </w:r>
      <w:r>
        <w:rPr>
          <w:rFonts w:ascii="黑体" w:hAnsi="黑体" w:eastAsia="黑体" w:cs="Courier New"/>
          <w:bCs/>
          <w:color w:val="auto"/>
          <w:sz w:val="32"/>
          <w:szCs w:val="32"/>
          <w:u w:val="none"/>
        </w:rPr>
        <w:t>收入预算总体情况说明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bCs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bCs/>
          <w:color w:val="auto"/>
          <w:sz w:val="32"/>
          <w:szCs w:val="32"/>
          <w:u w:val="none"/>
        </w:rPr>
        <w:t>获嘉县信访局20</w:t>
      </w:r>
      <w:r>
        <w:rPr>
          <w:rFonts w:hint="eastAsia" w:ascii="仿宋_GB2312" w:hAnsi="宋体" w:eastAsia="仿宋_GB2312" w:cs="Courier New"/>
          <w:bCs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宋体" w:eastAsia="仿宋_GB2312" w:cs="Courier New"/>
          <w:bCs/>
          <w:color w:val="auto"/>
          <w:sz w:val="32"/>
          <w:szCs w:val="32"/>
          <w:u w:val="none"/>
        </w:rPr>
        <w:t>年</w:t>
      </w:r>
      <w:r>
        <w:rPr>
          <w:rFonts w:ascii="仿宋_GB2312" w:hAnsi="宋体" w:eastAsia="仿宋_GB2312" w:cs="Courier New"/>
          <w:bCs/>
          <w:color w:val="auto"/>
          <w:sz w:val="32"/>
          <w:szCs w:val="32"/>
          <w:u w:val="none"/>
        </w:rPr>
        <w:t>收入合计</w:t>
      </w:r>
      <w:r>
        <w:rPr>
          <w:rFonts w:hint="eastAsia" w:ascii="仿宋_GB2312" w:hAnsi="宋体" w:eastAsia="仿宋_GB2312" w:cs="Courier New"/>
          <w:bCs/>
          <w:color w:val="auto"/>
          <w:sz w:val="32"/>
          <w:szCs w:val="32"/>
          <w:u w:val="none"/>
        </w:rPr>
        <w:t>125.04万元</w:t>
      </w:r>
      <w:r>
        <w:rPr>
          <w:rFonts w:ascii="仿宋_GB2312" w:hAnsi="宋体" w:eastAsia="仿宋_GB2312" w:cs="Courier New"/>
          <w:bCs/>
          <w:color w:val="auto"/>
          <w:sz w:val="32"/>
          <w:szCs w:val="32"/>
          <w:u w:val="none"/>
        </w:rPr>
        <w:t>，其中：一般公共预算</w:t>
      </w:r>
      <w:r>
        <w:rPr>
          <w:rFonts w:hint="eastAsia" w:ascii="仿宋_GB2312" w:hAnsi="宋体" w:eastAsia="仿宋_GB2312" w:cs="Courier New"/>
          <w:bCs/>
          <w:color w:val="auto"/>
          <w:sz w:val="32"/>
          <w:szCs w:val="32"/>
          <w:u w:val="none"/>
        </w:rPr>
        <w:t>125.04万元；</w:t>
      </w:r>
      <w:r>
        <w:rPr>
          <w:rFonts w:ascii="仿宋_GB2312" w:hAnsi="宋体" w:eastAsia="仿宋_GB2312" w:cs="Courier New"/>
          <w:bCs/>
          <w:color w:val="auto"/>
          <w:sz w:val="32"/>
          <w:szCs w:val="32"/>
          <w:u w:val="none"/>
        </w:rPr>
        <w:t>政府性基金收入</w:t>
      </w:r>
      <w:r>
        <w:rPr>
          <w:rFonts w:hint="eastAsia" w:ascii="仿宋_GB2312" w:hAnsi="宋体" w:eastAsia="仿宋_GB2312" w:cs="Courier New"/>
          <w:bCs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bCs/>
          <w:color w:val="auto"/>
          <w:sz w:val="32"/>
          <w:szCs w:val="32"/>
          <w:u w:val="none"/>
        </w:rPr>
        <w:t>万元</w:t>
      </w:r>
      <w:r>
        <w:rPr>
          <w:rFonts w:ascii="仿宋_GB2312" w:hAnsi="宋体" w:eastAsia="仿宋_GB2312" w:cs="Courier New"/>
          <w:bCs/>
          <w:color w:val="auto"/>
          <w:sz w:val="32"/>
          <w:szCs w:val="32"/>
          <w:u w:val="none"/>
        </w:rPr>
        <w:t>；专户管理的教育</w:t>
      </w:r>
      <w:r>
        <w:rPr>
          <w:rFonts w:hint="eastAsia" w:ascii="仿宋_GB2312" w:hAnsi="宋体" w:eastAsia="仿宋_GB2312" w:cs="Courier New"/>
          <w:bCs/>
          <w:color w:val="auto"/>
          <w:sz w:val="32"/>
          <w:szCs w:val="32"/>
          <w:u w:val="none"/>
        </w:rPr>
        <w:t>收费0万元</w:t>
      </w:r>
      <w:r>
        <w:rPr>
          <w:rFonts w:ascii="仿宋_GB2312" w:hAnsi="宋体" w:eastAsia="仿宋_GB2312" w:cs="Courier New"/>
          <w:bCs/>
          <w:color w:val="auto"/>
          <w:sz w:val="32"/>
          <w:szCs w:val="32"/>
          <w:u w:val="none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Courier New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三</w:t>
      </w:r>
      <w:r>
        <w:rPr>
          <w:rFonts w:ascii="黑体" w:hAnsi="黑体" w:eastAsia="黑体" w:cs="Courier New"/>
          <w:bCs/>
          <w:color w:val="auto"/>
          <w:sz w:val="32"/>
          <w:szCs w:val="32"/>
          <w:u w:val="none"/>
        </w:rPr>
        <w:t>、支出</w:t>
      </w: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预算</w:t>
      </w:r>
      <w:r>
        <w:rPr>
          <w:rFonts w:ascii="黑体" w:hAnsi="黑体" w:eastAsia="黑体" w:cs="Courier New"/>
          <w:bCs/>
          <w:color w:val="auto"/>
          <w:sz w:val="32"/>
          <w:szCs w:val="32"/>
          <w:u w:val="none"/>
        </w:rPr>
        <w:t>总体情况说明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获嘉县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信访</w:t>
      </w:r>
      <w:r>
        <w:rPr>
          <w:rFonts w:ascii="仿宋_GB2312" w:hAnsi="仿宋" w:eastAsia="仿宋_GB2312"/>
          <w:color w:val="auto"/>
          <w:sz w:val="32"/>
          <w:szCs w:val="32"/>
          <w:u w:val="none"/>
        </w:rPr>
        <w:t>局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年支出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合计125.04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万元，其中：基本支出</w:t>
      </w:r>
      <w:r>
        <w:rPr>
          <w:rFonts w:ascii="仿宋_GB2312" w:hAnsi="仿宋" w:eastAsia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84.96万元，占总支出的</w:t>
      </w:r>
      <w:r>
        <w:rPr>
          <w:rFonts w:ascii="仿宋_GB2312" w:hAnsi="仿宋" w:eastAsia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68%，项目支出40.08万元，占总支出的</w:t>
      </w:r>
      <w:r>
        <w:rPr>
          <w:rFonts w:ascii="仿宋_GB2312" w:hAnsi="仿宋" w:eastAsia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32%。</w:t>
      </w:r>
    </w:p>
    <w:p>
      <w:pPr>
        <w:spacing w:line="560" w:lineRule="exact"/>
        <w:ind w:firstLine="640" w:firstLineChars="200"/>
        <w:rPr>
          <w:rFonts w:ascii="黑体" w:hAnsi="黑体" w:eastAsia="黑体" w:cs="Courier New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四、</w:t>
      </w:r>
      <w:r>
        <w:rPr>
          <w:rFonts w:ascii="黑体" w:hAnsi="黑体" w:eastAsia="黑体" w:cs="Courier New"/>
          <w:bCs/>
          <w:color w:val="auto"/>
          <w:sz w:val="32"/>
          <w:szCs w:val="32"/>
          <w:u w:val="none"/>
        </w:rPr>
        <w:t>财政拨款收入支出预算总体</w:t>
      </w: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情况说明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获嘉县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  <w:lang w:val="en-US" w:eastAsia="zh-CN"/>
        </w:rPr>
        <w:t>信访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</w:rPr>
        <w:t>局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20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一般公共预算收支预算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  <w:lang w:val="en-US" w:eastAsia="zh-CN"/>
        </w:rPr>
        <w:t>125.04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万元，政府性基金收支预算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万元。与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 xml:space="preserve"> 201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年相比，一般公共预算收支预算增加2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6.89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万元，增加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0.27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%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，主要原因：增加2019年北京、郑州信访值班经费，相应预算增加。</w:t>
      </w:r>
    </w:p>
    <w:p>
      <w:pPr>
        <w:spacing w:line="560" w:lineRule="exact"/>
        <w:ind w:firstLine="640" w:firstLineChars="200"/>
        <w:rPr>
          <w:rFonts w:ascii="黑体" w:hAnsi="黑体" w:eastAsia="黑体" w:cs="Courier New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Courier New"/>
          <w:bCs/>
          <w:color w:val="auto"/>
          <w:sz w:val="32"/>
          <w:szCs w:val="32"/>
          <w:highlight w:val="none"/>
          <w:u w:val="none"/>
        </w:rPr>
        <w:t>五</w:t>
      </w:r>
      <w:r>
        <w:rPr>
          <w:rFonts w:ascii="黑体" w:hAnsi="黑体" w:eastAsia="黑体" w:cs="Courier New"/>
          <w:bCs/>
          <w:color w:val="auto"/>
          <w:sz w:val="32"/>
          <w:szCs w:val="32"/>
          <w:highlight w:val="none"/>
          <w:u w:val="none"/>
        </w:rPr>
        <w:t>、一般公共预算支出预算情况说明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获嘉县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eastAsia="zh-CN"/>
        </w:rPr>
        <w:t>信访局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19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年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一般公共预算支出年初预算为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25.04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万元。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主要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用于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以下几个方面：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一般公共服务支出105.48万元，占84.36%；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社会保障和就业（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类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支出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13.19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万元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，占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10.55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%；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卫生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健康（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类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支出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3.47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万元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，占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2.77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%；住房保障（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类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支出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2.90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万元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，占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2.32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u w:val="none"/>
        </w:rPr>
        <w:t>%。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六</w:t>
      </w:r>
      <w:r>
        <w:rPr>
          <w:rFonts w:ascii="黑体" w:hAnsi="黑体" w:eastAsia="黑体" w:cs="Courier New"/>
          <w:bCs/>
          <w:color w:val="auto"/>
          <w:sz w:val="32"/>
          <w:szCs w:val="32"/>
          <w:u w:val="none"/>
        </w:rPr>
        <w:t>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一般公共预算基本支出预算情况说明</w:t>
      </w:r>
    </w:p>
    <w:p>
      <w:pPr>
        <w:widowControl/>
        <w:spacing w:line="580" w:lineRule="exact"/>
        <w:ind w:firstLine="622"/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获嘉县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信访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年一般公共预算基本支出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84.96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万元，其中：人员经费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79.40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万元，主要包括：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基本工资、津贴补贴、机关事业单位基本养老保险缴费、职工基本医疗保险缴费、其他社会保障缴费、住房公积金等；公用经费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5.56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万元，主要包括：办公费、公务用车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运行维护费、其他交通费用等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Courier New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七</w:t>
      </w:r>
      <w:r>
        <w:rPr>
          <w:rFonts w:ascii="黑体" w:hAnsi="黑体" w:eastAsia="黑体" w:cs="Courier New"/>
          <w:bCs/>
          <w:color w:val="auto"/>
          <w:sz w:val="32"/>
          <w:szCs w:val="32"/>
          <w:u w:val="none"/>
        </w:rPr>
        <w:t>、一般公共预算“</w:t>
      </w: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三公</w:t>
      </w:r>
      <w:r>
        <w:rPr>
          <w:rFonts w:ascii="黑体" w:hAnsi="黑体" w:eastAsia="黑体" w:cs="Courier New"/>
          <w:bCs/>
          <w:color w:val="auto"/>
          <w:sz w:val="32"/>
          <w:szCs w:val="32"/>
          <w:u w:val="none"/>
        </w:rPr>
        <w:t>”</w:t>
      </w: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经费</w:t>
      </w:r>
      <w:r>
        <w:rPr>
          <w:rFonts w:ascii="黑体" w:hAnsi="黑体" w:eastAsia="黑体" w:cs="Courier New"/>
          <w:bCs/>
          <w:color w:val="auto"/>
          <w:sz w:val="32"/>
          <w:szCs w:val="32"/>
          <w:u w:val="none"/>
        </w:rPr>
        <w:t>支出情况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获嘉县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信访</w:t>
      </w:r>
      <w:r>
        <w:rPr>
          <w:rFonts w:ascii="仿宋_GB2312" w:hAnsi="仿宋" w:eastAsia="仿宋_GB2312"/>
          <w:color w:val="auto"/>
          <w:sz w:val="32"/>
          <w:szCs w:val="32"/>
          <w:u w:val="none"/>
        </w:rPr>
        <w:t>局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20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年“三公”经费预算为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万元，较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201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年减少0万元。具体情况如下：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pacing w:val="-1"/>
          <w:kern w:val="0"/>
          <w:sz w:val="32"/>
          <w:szCs w:val="32"/>
          <w:u w:val="none"/>
        </w:rPr>
        <w:t>（一）因公出国（境）费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0 </w:t>
      </w:r>
      <w:r>
        <w:rPr>
          <w:rFonts w:hint="eastAsia" w:ascii="仿宋_GB2312" w:eastAsia="仿宋_GB2312" w:cs="仿宋_GB2312"/>
          <w:color w:val="auto"/>
          <w:spacing w:val="-1"/>
          <w:kern w:val="0"/>
          <w:sz w:val="32"/>
          <w:szCs w:val="32"/>
          <w:u w:val="none"/>
        </w:rPr>
        <w:t>万元，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预算数与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201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年相比没有变化。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pacing w:val="-1"/>
          <w:kern w:val="0"/>
          <w:sz w:val="32"/>
          <w:szCs w:val="32"/>
          <w:u w:val="none"/>
        </w:rPr>
        <w:t>（二）公务用车购置及运行费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u w:val="none"/>
        </w:rPr>
        <w:t>万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元，其中：公务用车购置费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万元；公务用车运行维护费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万元，主要用于开展工作所需公务用车的燃料费、维修费、过路过桥费、保险费等支出。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公务用车购置费预算数与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201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年相比没有变化，主要原因：我单位在20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1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至20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年两年都没有安排公务用车购置费的预算。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公务用车运行维护费预算数与201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年相比没有变化。</w:t>
      </w:r>
    </w:p>
    <w:p>
      <w:pPr>
        <w:spacing w:line="360" w:lineRule="auto"/>
        <w:ind w:firstLine="636" w:firstLineChars="200"/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仿宋_GB2312"/>
          <w:color w:val="auto"/>
          <w:spacing w:val="-1"/>
          <w:kern w:val="0"/>
          <w:sz w:val="32"/>
          <w:szCs w:val="32"/>
          <w:u w:val="none"/>
        </w:rPr>
        <w:t>（三）公务接待费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eastAsia="仿宋_GB2312" w:cs="仿宋_GB2312"/>
          <w:color w:val="auto"/>
          <w:spacing w:val="-1"/>
          <w:kern w:val="0"/>
          <w:sz w:val="32"/>
          <w:szCs w:val="32"/>
          <w:u w:val="none"/>
        </w:rPr>
        <w:t>万元，预算数与201</w:t>
      </w:r>
      <w:r>
        <w:rPr>
          <w:rFonts w:hint="eastAsia" w:ascii="仿宋_GB2312" w:eastAsia="仿宋_GB2312" w:cs="仿宋_GB2312"/>
          <w:color w:val="auto"/>
          <w:spacing w:val="-1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pacing w:val="-1"/>
          <w:kern w:val="0"/>
          <w:sz w:val="32"/>
          <w:szCs w:val="32"/>
          <w:u w:val="none"/>
        </w:rPr>
        <w:t>年相比没有变化。</w:t>
      </w:r>
    </w:p>
    <w:p>
      <w:pPr>
        <w:spacing w:line="560" w:lineRule="exact"/>
        <w:ind w:firstLine="640" w:firstLineChars="200"/>
        <w:rPr>
          <w:rFonts w:ascii="黑体" w:hAnsi="黑体" w:eastAsia="黑体" w:cs="Courier New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八</w:t>
      </w:r>
      <w:r>
        <w:rPr>
          <w:rFonts w:ascii="黑体" w:hAnsi="黑体" w:eastAsia="黑体" w:cs="Courier New"/>
          <w:bCs/>
          <w:color w:val="auto"/>
          <w:sz w:val="32"/>
          <w:szCs w:val="32"/>
          <w:u w:val="none"/>
        </w:rPr>
        <w:t>、政府性基金预算支出情况说明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我单位20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无使用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政府性基金预算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拨款安排的支出。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九</w:t>
      </w:r>
      <w:r>
        <w:rPr>
          <w:rFonts w:ascii="黑体" w:hAnsi="黑体" w:eastAsia="黑体" w:cs="Courier New"/>
          <w:bCs/>
          <w:color w:val="auto"/>
          <w:sz w:val="32"/>
          <w:szCs w:val="32"/>
          <w:u w:val="none"/>
        </w:rPr>
        <w:t>、其他重要事项</w:t>
      </w:r>
      <w:r>
        <w:rPr>
          <w:rFonts w:hint="eastAsia" w:ascii="黑体" w:hAnsi="黑体" w:eastAsia="黑体" w:cs="Courier New"/>
          <w:bCs/>
          <w:color w:val="auto"/>
          <w:sz w:val="32"/>
          <w:szCs w:val="32"/>
          <w:u w:val="none"/>
        </w:rPr>
        <w:t>情况</w:t>
      </w:r>
      <w:r>
        <w:rPr>
          <w:rFonts w:ascii="黑体" w:hAnsi="黑体" w:eastAsia="黑体" w:cs="Courier New"/>
          <w:bCs/>
          <w:color w:val="auto"/>
          <w:sz w:val="32"/>
          <w:szCs w:val="32"/>
          <w:u w:val="none"/>
        </w:rPr>
        <w:t>说明</w:t>
      </w:r>
    </w:p>
    <w:p>
      <w:pPr>
        <w:spacing w:line="560" w:lineRule="exact"/>
        <w:ind w:firstLine="630" w:firstLineChars="196"/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</w:rPr>
        <w:t>（一</w:t>
      </w:r>
      <w:r>
        <w:rPr>
          <w:rFonts w:ascii="仿宋_GB2312" w:hAnsi="仿宋" w:eastAsia="仿宋_GB2312"/>
          <w:b/>
          <w:bCs/>
          <w:color w:val="auto"/>
          <w:sz w:val="32"/>
          <w:szCs w:val="32"/>
          <w:u w:val="none"/>
        </w:rPr>
        <w:t>）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</w:rPr>
        <w:t>机关运行经费支出情况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获嘉县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信访</w:t>
      </w:r>
      <w:r>
        <w:rPr>
          <w:rFonts w:ascii="仿宋_GB2312" w:hAnsi="仿宋" w:eastAsia="仿宋_GB2312"/>
          <w:color w:val="auto"/>
          <w:sz w:val="32"/>
          <w:szCs w:val="32"/>
          <w:u w:val="none"/>
        </w:rPr>
        <w:t>局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年机关运行经费支出</w:t>
      </w:r>
      <w:r>
        <w:rPr>
          <w:rFonts w:ascii="仿宋_GB2312" w:hAnsi="仿宋" w:eastAsia="仿宋_GB2312"/>
          <w:color w:val="auto"/>
          <w:sz w:val="32"/>
          <w:szCs w:val="32"/>
          <w:u w:val="none"/>
        </w:rPr>
        <w:t>预算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37.88</w:t>
      </w:r>
      <w:r>
        <w:rPr>
          <w:rFonts w:ascii="仿宋_GB2312" w:hAnsi="仿宋" w:eastAsia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万元，主要保障</w:t>
      </w:r>
      <w:r>
        <w:rPr>
          <w:rFonts w:ascii="仿宋_GB2312" w:hAnsi="仿宋" w:eastAsia="仿宋_GB2312"/>
          <w:color w:val="auto"/>
          <w:sz w:val="32"/>
          <w:szCs w:val="32"/>
          <w:u w:val="none"/>
        </w:rPr>
        <w:t>机构正常运转及正常履职需要的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办公费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8.66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万元、邮电费2万元、差旅费26.22万元、公车运行维护费 1万元。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（二</w:t>
      </w:r>
      <w:r>
        <w:rPr>
          <w:rFonts w:ascii="仿宋_GB2312" w:eastAsia="仿宋_GB2312"/>
          <w:b/>
          <w:color w:val="auto"/>
          <w:sz w:val="32"/>
          <w:szCs w:val="32"/>
          <w:u w:val="none"/>
        </w:rPr>
        <w:t>）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政府采购支出情况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年政府采购预算安排</w:t>
      </w:r>
      <w:r>
        <w:rPr>
          <w:rFonts w:ascii="仿宋_GB2312" w:eastAsia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万元，其中：政府采购货物预算</w:t>
      </w:r>
      <w:r>
        <w:rPr>
          <w:rFonts w:ascii="仿宋_GB2312" w:eastAsia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万元、政府采购工程预算</w:t>
      </w:r>
      <w:r>
        <w:rPr>
          <w:rFonts w:ascii="仿宋_GB2312" w:eastAsia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万元、政府采购服务预算</w:t>
      </w:r>
      <w:r>
        <w:rPr>
          <w:rFonts w:ascii="仿宋_GB2312" w:eastAsia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u w:val="none"/>
        </w:rPr>
        <w:t>（三）绩效</w:t>
      </w:r>
      <w:r>
        <w:rPr>
          <w:rFonts w:ascii="仿宋_GB2312" w:eastAsia="仿宋_GB2312" w:cs="仿宋_GB2312"/>
          <w:b/>
          <w:color w:val="auto"/>
          <w:kern w:val="0"/>
          <w:sz w:val="32"/>
          <w:szCs w:val="32"/>
          <w:u w:val="none"/>
        </w:rPr>
        <w:t>目标设置情况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年，我部门纳入预算绩效管理的支出总额为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万元，支出项目共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个，支出总额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万元。</w:t>
      </w:r>
    </w:p>
    <w:p>
      <w:pPr>
        <w:spacing w:line="360" w:lineRule="auto"/>
        <w:ind w:firstLine="640"/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（四）国有资产占用情况说明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201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年期末，我单位共有车辆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辆，其中：一般公务用车</w:t>
      </w:r>
      <w:r>
        <w:rPr>
          <w:rFonts w:hint="eastAsia" w:ascii="仿宋_GB2312" w:hAnsi="Calibri" w:eastAsia="仿宋_GB2312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辆、一般执法执勤用车</w:t>
      </w:r>
      <w:r>
        <w:rPr>
          <w:rFonts w:ascii="仿宋_GB2312" w:hAnsi="Calibri" w:eastAsia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辆、特种专业技术用车</w:t>
      </w:r>
      <w:r>
        <w:rPr>
          <w:rFonts w:ascii="仿宋_GB2312" w:hAnsi="Calibri" w:eastAsia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辆，其他用车</w:t>
      </w:r>
      <w:r>
        <w:rPr>
          <w:rFonts w:ascii="仿宋_GB2312" w:hAnsi="Calibri" w:eastAsia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辆；单价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50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万元以上设备</w:t>
      </w:r>
      <w:r>
        <w:rPr>
          <w:rFonts w:ascii="仿宋_GB2312" w:hAnsi="Calibri" w:eastAsia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台（套），单位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价值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100万元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以上专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用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设备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0台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套</w:t>
      </w:r>
      <w:r>
        <w:rPr>
          <w:rFonts w:ascii="仿宋_GB2312" w:hAnsi="宋体" w:eastAsia="仿宋_GB2312" w:cs="Courier New"/>
          <w:color w:val="auto"/>
          <w:sz w:val="32"/>
          <w:szCs w:val="32"/>
          <w:u w:val="none"/>
        </w:rPr>
        <w:t>）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宋体" w:eastAsia="仿宋_GB2312" w:cs="Courier New"/>
          <w:b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b/>
          <w:color w:val="auto"/>
          <w:sz w:val="32"/>
          <w:szCs w:val="32"/>
          <w:u w:val="none"/>
        </w:rPr>
        <w:t>（五）专项转移支付项目情况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我部门无专项转移支付项目。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color w:val="auto"/>
          <w:sz w:val="32"/>
          <w:szCs w:val="32"/>
          <w:u w:val="none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sectPr>
          <w:footerReference r:id="rId3" w:type="default"/>
          <w:footerReference r:id="rId4" w:type="even"/>
          <w:pgSz w:w="11906" w:h="16838"/>
          <w:pgMar w:top="816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第三部分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一、财政拨款收入：是指县级财政当年拨付的资金。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  <w:u w:val="none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color w:val="auto"/>
          <w:sz w:val="32"/>
          <w:szCs w:val="32"/>
          <w:u w:val="none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color w:val="auto"/>
          <w:sz w:val="32"/>
          <w:szCs w:val="32"/>
          <w:u w:val="none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附件：</w:t>
      </w:r>
    </w:p>
    <w:p>
      <w:pPr>
        <w:adjustRightInd w:val="0"/>
        <w:snapToGrid w:val="0"/>
        <w:spacing w:line="360" w:lineRule="auto"/>
        <w:ind w:firstLine="1440" w:firstLineChars="450"/>
        <w:jc w:val="left"/>
        <w:rPr>
          <w:rFonts w:hint="eastAsia"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获嘉县</w:t>
      </w:r>
      <w:r>
        <w:rPr>
          <w:rFonts w:hint="eastAsia" w:ascii="黑体" w:hAnsi="黑体" w:eastAsia="黑体"/>
          <w:color w:val="auto"/>
          <w:sz w:val="32"/>
          <w:szCs w:val="32"/>
          <w:u w:val="none"/>
          <w:lang w:val="en-US" w:eastAsia="zh-CN"/>
        </w:rPr>
        <w:t>信访</w:t>
      </w:r>
      <w:r>
        <w:rPr>
          <w:rFonts w:hint="eastAsia" w:ascii="黑体" w:hAnsi="黑体" w:eastAsia="黑体"/>
          <w:color w:val="auto"/>
          <w:sz w:val="32"/>
          <w:szCs w:val="32"/>
          <w:u w:val="none"/>
        </w:rPr>
        <w:t>局20</w:t>
      </w:r>
      <w:r>
        <w:rPr>
          <w:rFonts w:hint="eastAsia" w:ascii="黑体" w:hAnsi="黑体" w:eastAsia="黑体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黑体" w:hAnsi="黑体" w:eastAsia="黑体"/>
          <w:color w:val="auto"/>
          <w:sz w:val="32"/>
          <w:szCs w:val="32"/>
          <w:u w:val="none"/>
        </w:rPr>
        <w:t>年部门预算表</w:t>
      </w:r>
    </w:p>
    <w:p/>
    <w:sectPr>
      <w:pgSz w:w="11906" w:h="16838"/>
      <w:pgMar w:top="81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D3378"/>
    <w:rsid w:val="073F3754"/>
    <w:rsid w:val="258E2DDA"/>
    <w:rsid w:val="3140246F"/>
    <w:rsid w:val="344D3378"/>
    <w:rsid w:val="3DD678FA"/>
    <w:rsid w:val="5C1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2020-12-15T09:58:00Z</dcterms:created>
  <dc:creator>曼</dc:creator>
  <cp:lastModifiedBy>Administrator</cp:lastModifiedBy>
  <dcterms:modified xsi:type="dcterms:W3CDTF">2019-04-17T03:03:16Z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